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1268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/>
                <w:i w:val="0"/>
                <w:color w:val="000000"/>
                <w:sz w:val="24"/>
              </w:rPr>
              <w:t>行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170" w:right="170" w:firstLine="0"/>
              <w:jc w:val="left"/>
            </w:pPr>
            <w:r>
              <w:rPr>
                <w:rFonts w:ascii="微软雅黑" w:hAnsi="微软雅黑" w:eastAsia="微软雅黑"/>
                <w:b/>
                <w:i w:val="0"/>
                <w:color w:val="000000"/>
                <w:sz w:val="24"/>
              </w:rPr>
              <w:t>区别点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170" w:right="170" w:firstLine="0"/>
              <w:jc w:val="left"/>
            </w:pPr>
            <w:r>
              <w:rPr>
                <w:rFonts w:ascii="微软雅黑" w:hAnsi="微软雅黑" w:eastAsia="微软雅黑"/>
                <w:b/>
                <w:i w:val="0"/>
                <w:color w:val="000000"/>
                <w:sz w:val="24"/>
              </w:rPr>
              <w:t>普普版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168" w:right="168" w:firstLine="0"/>
              <w:jc w:val="left"/>
            </w:pPr>
            <w:r>
              <w:rPr>
                <w:rFonts w:ascii="微软雅黑" w:hAnsi="微软雅黑" w:eastAsia="微软雅黑"/>
                <w:b/>
                <w:i w:val="0"/>
                <w:color w:val="000000"/>
                <w:sz w:val="24"/>
              </w:rPr>
              <w:t>普及版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170" w:right="170" w:firstLine="0"/>
              <w:jc w:val="left"/>
            </w:pPr>
            <w:r>
              <w:rPr>
                <w:rFonts w:ascii="微软雅黑" w:hAnsi="微软雅黑" w:eastAsia="微软雅黑"/>
                <w:b/>
                <w:i w:val="0"/>
                <w:color w:val="000000"/>
                <w:sz w:val="24"/>
              </w:rPr>
              <w:t>普及二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76" w:lineRule="exact" w:before="0" w:after="0"/>
              <w:ind w:left="0" w:right="0"/>
            </w:pPr>
          </w:p>
          <w:tbl>
            <w:tblPr>
              <w:tblW w:type="auto" w:w="0"/>
              <w:tblLayout w:type="fixed"/>
              <w:tblLook w:firstColumn="1" w:firstRow="1" w:lastColumn="0" w:lastRow="0" w:noHBand="0" w:noVBand="1" w:val="04A0"/>
              <w:tblInd w:w="48.400000214576266" w:type="dxa"/>
            </w:tblPr>
            <w:tblGrid>
              <w:gridCol w:w="639"/>
              <w:gridCol w:w="639"/>
            </w:tblGrid>
            <w:tr>
              <w:trPr>
                <w:trHeight w:hRule="exact" w:val="1074"/>
              </w:trPr>
              <w:tc>
                <w:tcPr>
                  <w:tcW w:type="dxa" w:w="742"/>
                  <w:tcBorders/>
                  <w:tcMar>
                    <w:start w:w="0" w:type="dxa"/>
                    <w:end w:w="0" w:type="dxa"/>
                  </w:tcMar>
                </w:tcPr>
                <w:p>
                  <w:pPr>
                    <w:autoSpaceDN w:val="0"/>
                    <w:autoSpaceDE w:val="0"/>
                    <w:widowControl/>
                    <w:spacing w:line="316" w:lineRule="exact" w:before="76" w:after="0"/>
                    <w:ind w:left="126" w:right="126" w:firstLine="0"/>
                    <w:jc w:val="right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辉</w:t>
                  </w:r>
                </w:p>
                <w:p>
                  <w:pPr>
                    <w:autoSpaceDN w:val="0"/>
                    <w:autoSpaceDE w:val="0"/>
                    <w:widowControl/>
                    <w:spacing w:line="316" w:lineRule="exact" w:before="308" w:after="0"/>
                    <w:ind w:left="50" w:right="50" w:firstLine="0"/>
                    <w:jc w:val="left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TOP</w:t>
                  </w:r>
                </w:p>
              </w:tc>
              <w:tc>
                <w:tcPr>
                  <w:tcW w:type="dxa" w:w="418"/>
                  <w:tcBorders/>
                  <w:tcMar>
                    <w:start w:w="0" w:type="dxa"/>
                    <w:end w:w="0" w:type="dxa"/>
                  </w:tcMar>
                </w:tcPr>
                <w:p>
                  <w:pPr>
                    <w:autoSpaceDN w:val="0"/>
                    <w:autoSpaceDE w:val="0"/>
                    <w:widowControl/>
                    <w:spacing w:line="316" w:lineRule="exact" w:before="76" w:after="0"/>
                    <w:ind w:left="50" w:right="50" w:firstLine="0"/>
                    <w:jc w:val="right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煌</w:t>
                  </w:r>
                </w:p>
              </w:tc>
            </w:tr>
          </w:tbl>
          <w:p/>
          <w:p>
            <w:pPr>
              <w:autoSpaceDN w:val="0"/>
              <w:autoSpaceDE w:val="0"/>
              <w:widowControl/>
              <w:spacing w:line="14" w:lineRule="exact" w:before="0" w:after="0"/>
              <w:ind w:left="0" w:right="0"/>
            </w:pP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76" w:lineRule="exact" w:before="0" w:after="0"/>
              <w:ind w:left="0" w:right="0"/>
            </w:pPr>
          </w:p>
          <w:tbl>
            <w:tblPr>
              <w:tblW w:type="auto" w:w="0"/>
              <w:tblLayout w:type="fixed"/>
              <w:tblLook w:firstColumn="1" w:firstRow="1" w:lastColumn="0" w:lastRow="0" w:noHBand="0" w:noVBand="1" w:val="04A0"/>
              <w:tblInd w:w="48.400000214576266" w:type="dxa"/>
            </w:tblPr>
            <w:tblGrid>
              <w:gridCol w:w="673"/>
              <w:gridCol w:w="673"/>
            </w:tblGrid>
            <w:tr>
              <w:trPr>
                <w:trHeight w:hRule="exact" w:val="1074"/>
              </w:trPr>
              <w:tc>
                <w:tcPr>
                  <w:tcW w:type="dxa" w:w="840"/>
                  <w:tcBorders/>
                  <w:tcMar>
                    <w:start w:w="0" w:type="dxa"/>
                    <w:end w:w="0" w:type="dxa"/>
                  </w:tcMar>
                </w:tcPr>
                <w:p>
                  <w:pPr>
                    <w:autoSpaceDN w:val="0"/>
                    <w:autoSpaceDE w:val="0"/>
                    <w:widowControl/>
                    <w:spacing w:line="316" w:lineRule="exact" w:before="76" w:after="0"/>
                    <w:ind w:left="192" w:right="192" w:firstLine="0"/>
                    <w:jc w:val="right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辉</w:t>
                  </w:r>
                </w:p>
                <w:p>
                  <w:pPr>
                    <w:autoSpaceDN w:val="0"/>
                    <w:autoSpaceDE w:val="0"/>
                    <w:widowControl/>
                    <w:spacing w:line="316" w:lineRule="exact" w:before="308" w:after="0"/>
                    <w:ind w:left="0" w:right="0" w:firstLine="0"/>
                    <w:jc w:val="center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TOP+</w:t>
                  </w:r>
                </w:p>
              </w:tc>
              <w:tc>
                <w:tcPr>
                  <w:tcW w:type="dxa" w:w="390"/>
                  <w:tcBorders/>
                  <w:tcMar>
                    <w:start w:w="0" w:type="dxa"/>
                    <w:end w:w="0" w:type="dxa"/>
                  </w:tcMar>
                </w:tcPr>
                <w:p>
                  <w:pPr>
                    <w:autoSpaceDN w:val="0"/>
                    <w:autoSpaceDE w:val="0"/>
                    <w:widowControl/>
                    <w:spacing w:line="316" w:lineRule="exact" w:before="76" w:after="0"/>
                    <w:ind w:left="0" w:right="0" w:firstLine="0"/>
                    <w:jc w:val="center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煌</w:t>
                  </w:r>
                </w:p>
              </w:tc>
            </w:tr>
          </w:tbl>
          <w:p/>
          <w:p>
            <w:pPr>
              <w:autoSpaceDN w:val="0"/>
              <w:autoSpaceDE w:val="0"/>
              <w:widowControl/>
              <w:spacing w:line="14" w:lineRule="exact" w:before="0" w:after="0"/>
              <w:ind w:left="0" w:right="0"/>
            </w:pP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76" w:lineRule="exact" w:before="0" w:after="0"/>
              <w:ind w:left="0" w:right="0"/>
            </w:pPr>
          </w:p>
          <w:tbl>
            <w:tblPr>
              <w:tblW w:type="auto" w:w="0"/>
              <w:tblLayout w:type="fixed"/>
              <w:tblLook w:firstColumn="1" w:firstRow="1" w:lastColumn="0" w:lastRow="0" w:noHBand="0" w:noVBand="1" w:val="04A0"/>
              <w:tblInd w:w="48.40000021457854" w:type="dxa"/>
            </w:tblPr>
            <w:tblGrid>
              <w:gridCol w:w="604"/>
              <w:gridCol w:w="604"/>
            </w:tblGrid>
            <w:tr>
              <w:trPr>
                <w:trHeight w:hRule="exact" w:val="1074"/>
              </w:trPr>
              <w:tc>
                <w:tcPr>
                  <w:tcW w:type="dxa" w:w="692"/>
                  <w:tcBorders/>
                  <w:tcMar>
                    <w:start w:w="0" w:type="dxa"/>
                    <w:end w:w="0" w:type="dxa"/>
                  </w:tcMar>
                </w:tcPr>
                <w:p>
                  <w:pPr>
                    <w:autoSpaceDN w:val="0"/>
                    <w:autoSpaceDE w:val="0"/>
                    <w:widowControl/>
                    <w:spacing w:line="316" w:lineRule="exact" w:before="76" w:after="0"/>
                    <w:ind w:left="110" w:right="110" w:firstLine="0"/>
                    <w:jc w:val="right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辉</w:t>
                  </w:r>
                </w:p>
                <w:p>
                  <w:pPr>
                    <w:autoSpaceDN w:val="0"/>
                    <w:autoSpaceDE w:val="0"/>
                    <w:widowControl/>
                    <w:spacing w:line="316" w:lineRule="exact" w:before="308" w:after="0"/>
                    <w:ind w:left="50" w:right="50" w:firstLine="0"/>
                    <w:jc w:val="left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ERP</w:t>
                  </w:r>
                </w:p>
              </w:tc>
              <w:tc>
                <w:tcPr>
                  <w:tcW w:type="dxa" w:w="400"/>
                  <w:tcBorders/>
                  <w:tcMar>
                    <w:start w:w="0" w:type="dxa"/>
                    <w:end w:w="0" w:type="dxa"/>
                  </w:tcMar>
                </w:tcPr>
                <w:p>
                  <w:pPr>
                    <w:autoSpaceDN w:val="0"/>
                    <w:autoSpaceDE w:val="0"/>
                    <w:widowControl/>
                    <w:spacing w:line="316" w:lineRule="exact" w:before="76" w:after="0"/>
                    <w:ind w:left="0" w:right="0" w:firstLine="0"/>
                    <w:jc w:val="center"/>
                  </w:pPr>
                  <w:r>
                    <w:rPr>
                      <w:rFonts w:ascii="微软雅黑" w:hAnsi="微软雅黑" w:eastAsia="微软雅黑"/>
                      <w:b/>
                      <w:i w:val="0"/>
                      <w:color w:val="000000"/>
                      <w:sz w:val="24"/>
                    </w:rPr>
                    <w:t>煌</w:t>
                  </w:r>
                </w:p>
              </w:tc>
            </w:tr>
          </w:tbl>
          <w:p/>
          <w:p>
            <w:pPr>
              <w:autoSpaceDN w:val="0"/>
              <w:autoSpaceDE w:val="0"/>
              <w:widowControl/>
              <w:spacing w:line="14" w:lineRule="exact" w:before="0" w:after="0"/>
              <w:ind w:left="0" w:right="0"/>
            </w:pP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160" w:right="16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进、销、存业务处理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160" w:right="16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往来业务处理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6" w:lineRule="exact" w:before="176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4" w:lineRule="exact" w:before="17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4" w:lineRule="exact" w:before="176" w:after="0"/>
              <w:ind w:left="160" w:right="16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财务基础业务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零售业务处理(老)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按金额结算功能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库存上、下限报警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价格、折扣跟踪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单据格式配置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商品多单位管理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同价调拨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多个仓库管理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▲(3 个)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多个操作员管理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▲(3 个)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基本信息批量修改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变价调拨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商品组装拆卸单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调账业务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借欠业务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草稿单据复制(单据转换)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22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门店登记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38" w:left="120" w:header="720" w:footer="720" w:gutter="0"/>
          <w:cols w:space="720"/>
          <w:docGrid w:linePitch="360"/>
        </w:sectPr>
      </w:pPr>
    </w:p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654"/>
        </w:trPr>
        <w:tc>
          <w:tcPr>
            <w:tcW w:type="dxa" w:w="724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20</w:t>
            </w:r>
          </w:p>
        </w:tc>
        <w:tc>
          <w:tcPr>
            <w:tcW w:type="dxa" w:w="344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一品多条码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服务项目不管理库存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物价管理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生产模板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会员卡管理(积分、折扣)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特价促销管理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单据编号规则及样式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Excel 导入基本信息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月结存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29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短信服务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0" w:right="0" w:firstLine="0"/>
              <w:jc w:val="center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系统允许修改/删除已过帐单据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低于最低售价不允许过账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1268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进货、销售单允许使用通讯称</w:t>
            </w:r>
          </w:p>
          <w:p>
            <w:pPr>
              <w:autoSpaceDN w:val="0"/>
              <w:autoSpaceDE w:val="0"/>
              <w:widowControl/>
              <w:spacing w:line="316" w:lineRule="exact" w:before="308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录入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气泡消息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账套登录方式变更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整单优惠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进货销售赠品处理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商品信息标准条码库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多账套管理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22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39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快速登录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38" w:left="120" w:header="720" w:footer="720" w:gutter="0"/>
          <w:cols w:space="720"/>
          <w:docGrid w:linePitch="360"/>
        </w:sectPr>
      </w:pPr>
    </w:p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654"/>
        </w:trPr>
        <w:tc>
          <w:tcPr>
            <w:tcW w:type="dxa" w:w="724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40</w:t>
            </w:r>
          </w:p>
        </w:tc>
        <w:tc>
          <w:tcPr>
            <w:tcW w:type="dxa" w:w="344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轻行业版本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总账管理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待摊费用管理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固定资产管理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会计凭证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会员储值管理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多类型促销管理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现金券管理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启动报警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49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条码打印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1268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0" w:right="0" w:firstLine="0"/>
              <w:jc w:val="center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平台功能—自定制设置—界面</w:t>
            </w:r>
          </w:p>
          <w:p>
            <w:pPr>
              <w:autoSpaceDN w:val="0"/>
              <w:autoSpaceDE w:val="0"/>
              <w:widowControl/>
              <w:spacing w:line="316" w:lineRule="exact" w:before="308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设置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航天金税接口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基本信息停用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品牌管理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地区管理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部门管理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自定义类型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不使用同一成本核算方法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加盟店管理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22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59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允许商品条码重复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38" w:left="120" w:header="720" w:footer="720" w:gutter="0"/>
          <w:cols w:space="720"/>
          <w:docGrid w:linePitch="360"/>
        </w:sectPr>
      </w:pPr>
    </w:p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654"/>
        </w:trPr>
        <w:tc>
          <w:tcPr>
            <w:tcW w:type="dxa" w:w="724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60</w:t>
            </w:r>
          </w:p>
        </w:tc>
        <w:tc>
          <w:tcPr>
            <w:tcW w:type="dxa" w:w="344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超出应收上限不能过帐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录单时不允许修改经手人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销售优惠统计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单品分析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滞销/畅销商品表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零售单及零售商品查询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库存状况分布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商品保质期查询/批次跟踪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制单人收款统计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69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增加显示字段(公式字段)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其它出入库单支持科目选择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表体附加信息字段支持 10 个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打印样式上传下载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单据打印控制设置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微信公账号接口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钉钉消息接口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销售、进货订单业务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进货、销售换货业务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询价、报价业务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79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0" w:right="0" w:firstLine="0"/>
              <w:jc w:val="center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代销业务(委托业务、受托业务)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22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简单委外加工业务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28" w:left="120" w:header="720" w:footer="720" w:gutter="0"/>
          <w:cols w:space="720"/>
          <w:docGrid w:linePitch="360"/>
        </w:sectPr>
      </w:pPr>
    </w:p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654"/>
        </w:trPr>
        <w:tc>
          <w:tcPr>
            <w:tcW w:type="dxa" w:w="724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81</w:t>
            </w:r>
          </w:p>
        </w:tc>
        <w:tc>
          <w:tcPr>
            <w:tcW w:type="dxa" w:w="344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组合套件销售业务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价格系统设置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多仓库出入库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运费分摊功能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虚拟库存功能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预收、预付账款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Excel 导入、导出单据明细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单位价格体系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89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单据自动保存控制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是否自动生成摘要控制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小数点自定义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启用物流配货控制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按单据结算功能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按商品结算功能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替换品管理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分量盘点和盘点机接口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简单发票管理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职员每单优惠限额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1268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99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0" w:right="0" w:firstLine="0"/>
              <w:jc w:val="center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费用分布（部门/地区/单位/职</w:t>
            </w:r>
          </w:p>
          <w:p>
            <w:pPr>
              <w:autoSpaceDN w:val="0"/>
              <w:autoSpaceDE w:val="0"/>
              <w:widowControl/>
              <w:spacing w:line="316" w:lineRule="exact" w:before="308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员）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22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部门/地区/职员业务统计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38" w:left="120" w:header="720" w:footer="720" w:gutter="0"/>
          <w:cols w:space="720"/>
          <w:docGrid w:linePitch="360"/>
        </w:sectPr>
      </w:pPr>
    </w:p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654"/>
        </w:trPr>
        <w:tc>
          <w:tcPr>
            <w:tcW w:type="dxa" w:w="724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101</w:t>
            </w:r>
          </w:p>
        </w:tc>
        <w:tc>
          <w:tcPr>
            <w:tcW w:type="dxa" w:w="344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账龄分析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超期应收款查询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条码枪扫描自动累加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进货/销售波动分析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地区/部门回款统计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打印次数控制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商品多套编号设置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负库存报警查询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109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库存积压统计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操作日志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商品智能补货计划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业务员提成功能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账外库存业务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跨年账业务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简单发票管理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收发货验收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库龄分析表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“自动拆分组装”商品管理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119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业务单据生单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客户关系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▲(网)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22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仓库物价管理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28" w:left="120" w:header="720" w:footer="720" w:gutter="0"/>
          <w:cols w:space="720"/>
          <w:docGrid w:linePitch="360"/>
        </w:sectPr>
      </w:pPr>
    </w:p>
    <w:p>
      <w:pPr>
        <w:autoSpaceDN w:val="0"/>
        <w:autoSpaceDE w:val="0"/>
        <w:widowControl/>
        <w:spacing w:line="724" w:lineRule="exact" w:before="0" w:after="0"/>
        <w:ind w:left="0" w:right="0"/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20.0" w:type="dxa"/>
      </w:tblPr>
      <w:tblGrid>
        <w:gridCol w:w="1460"/>
        <w:gridCol w:w="1460"/>
        <w:gridCol w:w="1460"/>
        <w:gridCol w:w="1460"/>
        <w:gridCol w:w="1460"/>
        <w:gridCol w:w="1460"/>
        <w:gridCol w:w="1460"/>
        <w:gridCol w:w="1460"/>
      </w:tblGrid>
      <w:tr>
        <w:trPr>
          <w:trHeight w:hRule="exact" w:val="654"/>
        </w:trPr>
        <w:tc>
          <w:tcPr>
            <w:tcW w:type="dxa" w:w="724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122</w:t>
            </w:r>
          </w:p>
        </w:tc>
        <w:tc>
          <w:tcPr>
            <w:tcW w:type="dxa" w:w="344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销售计划</w:t>
            </w:r>
          </w:p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7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获利、返利管理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单据审核级数设置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基本信息授权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连锁配送中心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生产组装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业务员收款统计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129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超市联营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130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品牌应收管理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131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部门利润表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132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个人工作台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133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搬移工具内置菜单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134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进货、销售费用分摊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135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委外加工流程化管理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▲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136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0" w:right="0" w:firstLine="0"/>
              <w:jc w:val="center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第三方支付(微信、支付宝支付)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100" w:right="100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申请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申请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申请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申请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申请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申请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137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零售业务 (对接 POS 零售)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</w:tr>
      <w:tr>
        <w:trPr>
          <w:trHeight w:hRule="exact" w:val="1268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138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154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移动业务 (对接 物联通 手机</w:t>
            </w:r>
          </w:p>
          <w:p>
            <w:pPr>
              <w:autoSpaceDN w:val="0"/>
              <w:autoSpaceDE w:val="0"/>
              <w:widowControl/>
              <w:spacing w:line="316" w:lineRule="exact" w:before="308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版)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6" w:lineRule="exact" w:before="466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</w:tr>
      <w:tr>
        <w:trPr>
          <w:trHeight w:hRule="exact" w:val="644"/>
        </w:trPr>
        <w:tc>
          <w:tcPr>
            <w:tcW w:type="dxa" w:w="724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139</w:t>
            </w:r>
          </w:p>
        </w:tc>
        <w:tc>
          <w:tcPr>
            <w:tcW w:type="dxa" w:w="344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网店管理 (对接 全渠道)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/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10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7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346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6" w:right="96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  <w:tc>
          <w:tcPr>
            <w:tcW w:type="dxa" w:w="120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318" w:lineRule="exact" w:before="152" w:after="0"/>
              <w:ind w:left="98" w:right="98" w:firstLine="0"/>
              <w:jc w:val="left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4"/>
              </w:rPr>
              <w:t>选购</w:t>
            </w:r>
          </w:p>
        </w:tc>
      </w:tr>
      <w:tr>
        <w:trPr>
          <w:trHeight w:hRule="exact" w:val="1248"/>
        </w:trPr>
        <w:tc>
          <w:tcPr>
            <w:tcW w:type="dxa" w:w="11624"/>
            <w:gridSpan w:val="8"/>
            <w:tcBorders>
              <w:start w:sz="7.679999828338623" w:val="single" w:color="#000000"/>
              <w:top w:sz="7.679999828338623" w:val="single" w:color="#000000"/>
              <w:end w:sz="7.679999828338623" w:val="single" w:color="#000000"/>
              <w:bottom w:sz="7.679999828338623" w:val="single" w:color="#000000"/>
            </w:tcBorders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  <w:tcMar>
              <w:start w:w="0" w:type="dxa"/>
              <w:end w:w="0" w:type="dxa"/>
            </w:tcMar>
          </w:tcPr>
          <w:p>
            <w:pPr>
              <w:autoSpaceDN w:val="0"/>
              <w:autoSpaceDE w:val="0"/>
              <w:widowControl/>
              <w:spacing w:line="274" w:lineRule="exact" w:before="800" w:after="0"/>
              <w:ind w:left="0" w:right="0" w:firstLine="0"/>
              <w:jc w:val="center"/>
            </w:pPr>
            <w:r>
              <w:rPr>
                <w:rFonts w:ascii="微软雅黑" w:hAnsi="微软雅黑" w:eastAsia="微软雅黑"/>
                <w:b w:val="0"/>
                <w:i w:val="0"/>
                <w:color w:val="000000"/>
                <w:sz w:val="21"/>
              </w:rPr>
              <w:t>特别说明：三角形▲标记的，表示该产品具备此功能。如果与产品有出入，以产品实际功能为准。</w:t>
            </w:r>
          </w:p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p>
      <w:pPr>
        <w:sectPr>
          <w:pgSz w:w="11906" w:h="16838"/>
          <w:pgMar w:top="716" w:right="102" w:bottom="944" w:left="120" w:header="720" w:footer="720" w:gutter="0"/>
          <w:cols w:space="720"/>
          <w:docGrid w:linePitch="360"/>
        </w:sectPr>
      </w:pPr>
    </w:p>
    <w:tbl>
      <w:tblPr>
        <w:tblW w:type="auto" w:w="0"/>
        <w:tblLayout w:type="fixed"/>
        <w:tblLook w:firstColumn="1" w:firstRow="1" w:lastColumn="0" w:lastRow="0" w:noHBand="0" w:noVBand="1" w:val="04A0"/>
        <w:tblInd w:w="-720.0" w:type="dxa"/>
      </w:tblPr>
      <w:tblGrid>
        <w:gridCol w:w="4513"/>
        <w:gridCol w:w="4513"/>
      </w:tblGrid>
      <w:tr>
        <w:trPr>
          <w:trHeight w:hRule="exact" w:val="180"/>
        </w:trPr>
        <w:tc>
          <w:tcPr>
            <w:tcW w:type="dxa" w:w="4512"/>
            <w:tcBorders/>
            <w:tcMar>
              <w:start w:w="0" w:type="dxa"/>
              <w:end w:w="0" w:type="dxa"/>
            </w:tcMar>
          </w:tcPr>
          <w:p/>
        </w:tc>
        <w:tc>
          <w:tcPr>
            <w:tcW w:type="dxa" w:w="4513"/>
            <w:tcBorders/>
            <w:tcMar>
              <w:start w:w="0" w:type="dxa"/>
              <w:end w:w="0" w:type="dxa"/>
            </w:tcMar>
          </w:tcPr>
          <w:p/>
        </w:tc>
      </w:tr>
    </w:tbl>
    <w:p>
      <w:pPr>
        <w:autoSpaceDN w:val="0"/>
        <w:autoSpaceDE w:val="0"/>
        <w:widowControl/>
        <w:spacing w:line="14" w:lineRule="exact" w:before="0" w:after="0"/>
        <w:ind w:left="0" w:right="0"/>
      </w:pPr>
    </w:p>
    <w:sectPr w:rsidR="00FC693F" w:rsidRPr="0006063C" w:rsidSect="00034616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